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E5B6C">
      <w:pPr>
        <w:widowControl/>
        <w:snapToGrid w:val="0"/>
        <w:spacing w:beforeLines="0" w:afterLines="0" w:line="276" w:lineRule="auto"/>
        <w:jc w:val="center"/>
        <w:rPr>
          <w:rFonts w:hint="eastAsia" w:ascii="宋体"/>
          <w:color w:val="000000"/>
          <w:kern w:val="0"/>
          <w:sz w:val="24"/>
          <w:szCs w:val="24"/>
        </w:rPr>
      </w:pPr>
      <w:r>
        <w:rPr>
          <w:rFonts w:hint="eastAsia" w:ascii="宋体" w:hAnsi="宋体" w:cs="宋体"/>
          <w:b/>
          <w:color w:val="000000"/>
          <w:kern w:val="0"/>
          <w:sz w:val="44"/>
          <w:szCs w:val="24"/>
        </w:rPr>
        <w:t>网络竞价须知</w:t>
      </w:r>
    </w:p>
    <w:p w14:paraId="69995A44">
      <w:pPr>
        <w:widowControl/>
        <w:wordWrap w:val="0"/>
        <w:snapToGrid w:val="0"/>
        <w:spacing w:beforeLines="0" w:afterLines="0" w:line="276" w:lineRule="auto"/>
        <w:ind w:firstLine="570"/>
        <w:rPr>
          <w:rFonts w:hint="eastAsia" w:ascii="宋体"/>
          <w:color w:val="000000"/>
          <w:kern w:val="0"/>
          <w:sz w:val="24"/>
          <w:szCs w:val="24"/>
        </w:rPr>
      </w:pPr>
      <w:r>
        <w:rPr>
          <w:rFonts w:hint="default" w:eastAsia="Times New Roman"/>
          <w:color w:val="000000"/>
          <w:kern w:val="0"/>
          <w:sz w:val="21"/>
          <w:szCs w:val="24"/>
        </w:rPr>
        <w:t> </w:t>
      </w:r>
    </w:p>
    <w:p w14:paraId="7A0BCF65">
      <w:pPr>
        <w:spacing w:beforeLines="0" w:afterLines="0"/>
        <w:ind w:firstLine="560" w:firstLineChars="200"/>
        <w:rPr>
          <w:rFonts w:hint="default" w:eastAsia="Times New Roman"/>
          <w:sz w:val="28"/>
          <w:szCs w:val="24"/>
        </w:rPr>
      </w:pPr>
      <w:r>
        <w:rPr>
          <w:rFonts w:hint="eastAsia"/>
          <w:sz w:val="28"/>
          <w:szCs w:val="24"/>
        </w:rPr>
        <w:t>一、竞价地点及方式。在驻马店市公共资源电子交易系统网站（</w:t>
      </w:r>
      <w:r>
        <w:rPr>
          <w:rFonts w:hint="default"/>
          <w:sz w:val="28"/>
          <w:szCs w:val="24"/>
        </w:rPr>
        <w:t>http://ggzy.</w:t>
      </w:r>
      <w:r>
        <w:rPr>
          <w:rFonts w:hint="eastAsia"/>
          <w:sz w:val="28"/>
          <w:szCs w:val="24"/>
        </w:rPr>
        <w:t>zhumadian.</w:t>
      </w:r>
      <w:r>
        <w:rPr>
          <w:rFonts w:hint="default"/>
          <w:sz w:val="28"/>
          <w:szCs w:val="24"/>
        </w:rPr>
        <w:t>gov.cn/TPFront/</w:t>
      </w:r>
      <w:r>
        <w:rPr>
          <w:rFonts w:hint="eastAsia"/>
          <w:sz w:val="28"/>
          <w:szCs w:val="24"/>
        </w:rPr>
        <w:t>）采用网络竞价方式，竞价方法为自由报价</w:t>
      </w:r>
      <w:r>
        <w:rPr>
          <w:rFonts w:hint="default"/>
          <w:sz w:val="28"/>
          <w:szCs w:val="24"/>
        </w:rPr>
        <w:t xml:space="preserve"> + </w:t>
      </w:r>
      <w:r>
        <w:rPr>
          <w:rFonts w:hint="eastAsia"/>
          <w:sz w:val="28"/>
          <w:szCs w:val="24"/>
        </w:rPr>
        <w:t>限时报价方式。</w:t>
      </w:r>
    </w:p>
    <w:p w14:paraId="257CECEA">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二、标的基本状况。</w:t>
      </w:r>
    </w:p>
    <w:p w14:paraId="2BDB294C">
      <w:pPr>
        <w:pStyle w:val="4"/>
        <w:spacing w:before="0" w:beforeLines="0" w:beforeAutospacing="0" w:after="0" w:afterLines="0" w:afterAutospacing="0" w:line="480" w:lineRule="atLeast"/>
        <w:ind w:firstLine="600"/>
        <w:jc w:val="both"/>
        <w:rPr>
          <w:rFonts w:hint="eastAsia" w:cs="宋体"/>
          <w:b/>
          <w:color w:val="000000"/>
          <w:sz w:val="28"/>
          <w:szCs w:val="28"/>
        </w:rPr>
      </w:pPr>
      <w:r>
        <w:rPr>
          <w:rFonts w:hint="eastAsia" w:cs="宋体"/>
          <w:b/>
          <w:color w:val="000000"/>
          <w:kern w:val="0"/>
          <w:sz w:val="28"/>
          <w:szCs w:val="24"/>
        </w:rPr>
        <w:t>处置标的1：</w:t>
      </w:r>
      <w:r>
        <w:rPr>
          <w:rFonts w:hint="eastAsia" w:cs="宋体"/>
          <w:b/>
          <w:color w:val="000000"/>
          <w:sz w:val="28"/>
          <w:szCs w:val="28"/>
        </w:rPr>
        <w:t>转让标的1：（车辆）豫QRF089，奥迪牌FV646ZHCQBG小型轿车1辆，注册日期：2016年04月26日；车辆状态为逾期未检车。标的基本情况详见评估报告。</w:t>
      </w:r>
    </w:p>
    <w:p w14:paraId="103FDB14">
      <w:pPr>
        <w:pStyle w:val="4"/>
        <w:spacing w:before="0" w:beforeLines="0" w:beforeAutospacing="0" w:after="0" w:afterLines="0" w:afterAutospacing="0" w:line="480" w:lineRule="atLeast"/>
        <w:ind w:firstLine="600"/>
        <w:jc w:val="both"/>
        <w:rPr>
          <w:rFonts w:hint="eastAsia" w:cs="宋体"/>
          <w:b/>
          <w:color w:val="000000"/>
          <w:sz w:val="28"/>
          <w:szCs w:val="28"/>
        </w:rPr>
      </w:pPr>
      <w:r>
        <w:rPr>
          <w:rFonts w:hint="eastAsia" w:cs="宋体"/>
          <w:b/>
          <w:color w:val="000000"/>
          <w:sz w:val="28"/>
          <w:szCs w:val="28"/>
        </w:rPr>
        <w:t>处置标的2：（房产）中牟县城西区东润朗郡小区10号楼2单元2702号房产，房产证号为豫（2017）中牟县不动产权第0001998号，建筑面积为145.03平方米，该10号楼总楼层27层，室内毛坯，水电已铺设，窗户已安装阳光推拉门。</w:t>
      </w:r>
    </w:p>
    <w:p w14:paraId="7D36DDBD">
      <w:pPr>
        <w:widowControl/>
        <w:wordWrap w:val="0"/>
        <w:snapToGrid w:val="0"/>
        <w:spacing w:beforeLines="0" w:afterLines="0" w:line="540" w:lineRule="atLeast"/>
        <w:ind w:firstLine="562"/>
        <w:rPr>
          <w:rFonts w:hint="eastAsia" w:ascii="宋体" w:hAnsi="宋体" w:cs="宋体"/>
          <w:b/>
          <w:color w:val="000000"/>
          <w:kern w:val="0"/>
          <w:sz w:val="28"/>
          <w:szCs w:val="28"/>
        </w:rPr>
      </w:pPr>
      <w:r>
        <w:rPr>
          <w:rFonts w:hint="eastAsia" w:ascii="宋体" w:hAnsi="宋体" w:cs="宋体"/>
          <w:b/>
          <w:color w:val="000000"/>
          <w:sz w:val="28"/>
          <w:szCs w:val="28"/>
        </w:rPr>
        <w:t>处置标的3：（房产）驻马店市龙湾世家小区18号楼1单元26层2603号房产，房产证号为豫（2019）驻马店市不动产权第005406号，建筑面积为130.7平方米，该18号楼总楼层26层，室内毛坯，塑钢窗，水、电、天然气入户。</w:t>
      </w:r>
    </w:p>
    <w:p w14:paraId="6FE19246">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 xml:space="preserve">三、标的展示： </w:t>
      </w:r>
    </w:p>
    <w:p w14:paraId="6FB589E0">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（一）本次处置以标的现实存在状况进行，委托方与中心不保证标的的质量、品质等。竞买人在申请竞买前，应认真查看竞价标的有关资料</w:t>
      </w:r>
      <w:r>
        <w:rPr>
          <w:rFonts w:hint="eastAsia" w:ascii="宋体"/>
          <w:color w:val="000000"/>
          <w:kern w:val="0"/>
          <w:sz w:val="28"/>
          <w:szCs w:val="24"/>
        </w:rPr>
        <w:t>,</w:t>
      </w:r>
      <w:r>
        <w:rPr>
          <w:rFonts w:hint="eastAsia" w:ascii="宋体" w:hAnsi="宋体" w:cs="宋体"/>
          <w:color w:val="000000"/>
          <w:kern w:val="0"/>
          <w:sz w:val="28"/>
          <w:szCs w:val="24"/>
        </w:rPr>
        <w:t>实地勘察了解处置标的的详细情况。竞买人一经办理竞买手续，即视为对本次拍卖处置标的的全部资料及处置标的实际状况已全部认可，接受处置标的的一切现状，并承担参与竞买所产生的一切法律后果，成交后不得再以此为由提出任何异议。</w:t>
      </w:r>
    </w:p>
    <w:p w14:paraId="28F0822A">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（二）本中心出具的有关拍卖处置标的材料</w:t>
      </w:r>
      <w:r>
        <w:rPr>
          <w:rFonts w:hint="eastAsia" w:ascii="宋体"/>
          <w:color w:val="000000"/>
          <w:kern w:val="0"/>
          <w:sz w:val="28"/>
          <w:szCs w:val="24"/>
        </w:rPr>
        <w:t>,</w:t>
      </w:r>
      <w:r>
        <w:rPr>
          <w:rFonts w:hint="eastAsia" w:ascii="宋体" w:hAnsi="宋体" w:cs="宋体"/>
          <w:color w:val="000000"/>
          <w:kern w:val="0"/>
          <w:sz w:val="28"/>
          <w:szCs w:val="24"/>
        </w:rPr>
        <w:t>仅供竞买人参考</w:t>
      </w:r>
      <w:r>
        <w:rPr>
          <w:rFonts w:hint="eastAsia" w:ascii="宋体"/>
          <w:color w:val="000000"/>
          <w:kern w:val="0"/>
          <w:sz w:val="28"/>
          <w:szCs w:val="24"/>
        </w:rPr>
        <w:t>,</w:t>
      </w:r>
      <w:r>
        <w:rPr>
          <w:rFonts w:hint="eastAsia" w:ascii="宋体" w:hAnsi="宋体" w:cs="宋体"/>
          <w:color w:val="000000"/>
          <w:kern w:val="0"/>
          <w:sz w:val="28"/>
          <w:szCs w:val="24"/>
        </w:rPr>
        <w:t xml:space="preserve">本中心及其工作人员对处置标的以任何方式（包括图录、幻灯投影、新闻媒介等）所作的介绍及评价，均为参考性意见，不构成对处置标的的任何担保。 </w:t>
      </w:r>
    </w:p>
    <w:p w14:paraId="6A3A2E58">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四、</w:t>
      </w:r>
      <w:r>
        <w:rPr>
          <w:rFonts w:hint="eastAsia" w:ascii="宋体" w:hAnsi="宋体" w:cs="宋体"/>
          <w:color w:val="000000"/>
          <w:kern w:val="0"/>
          <w:sz w:val="28"/>
          <w:szCs w:val="24"/>
        </w:rPr>
        <w:t xml:space="preserve">参与网络竞价的竞买人在竞价前需要认真了解《网络竞价须知》的有关规定，充分了解在竞价活动中应遵守的网络竞价规则和本须知中的各项规定，保持自身竞价行为的独立性、严肃性，共同避免和抵制相互操纵、相互串通等违规行为。 </w:t>
      </w:r>
    </w:p>
    <w:p w14:paraId="3598A22E">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五、</w:t>
      </w:r>
      <w:r>
        <w:rPr>
          <w:rFonts w:hint="eastAsia" w:ascii="宋体" w:hAnsi="宋体" w:cs="宋体"/>
          <w:color w:val="000000"/>
          <w:kern w:val="0"/>
          <w:sz w:val="28"/>
          <w:szCs w:val="24"/>
        </w:rPr>
        <w:t xml:space="preserve">竞买人向中心提出申请受让即表明同意本次竞价方式，同意接受在公告和有关文件中披露的各项受让条件，并对拍卖处置标的有关情况及瑕疵已详细了解。 </w:t>
      </w:r>
    </w:p>
    <w:p w14:paraId="6D078192">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 xml:space="preserve">六、网络竞价流程如下： </w:t>
      </w:r>
    </w:p>
    <w:p w14:paraId="32D43476">
      <w:pPr>
        <w:widowControl/>
        <w:wordWrap w:val="0"/>
        <w:snapToGrid w:val="0"/>
        <w:spacing w:beforeLines="0" w:afterLines="0" w:line="540" w:lineRule="atLeast"/>
        <w:ind w:firstLine="420" w:firstLineChars="150"/>
        <w:rPr>
          <w:rFonts w:hint="eastAsia" w:ascii="宋体"/>
          <w:color w:val="000000"/>
          <w:kern w:val="0"/>
          <w:sz w:val="28"/>
          <w:szCs w:val="24"/>
        </w:rPr>
      </w:pPr>
      <w:r>
        <w:rPr>
          <w:rFonts w:hint="eastAsia" w:ascii="宋体" w:hAnsi="宋体" w:cs="宋体"/>
          <w:color w:val="000000"/>
          <w:kern w:val="0"/>
          <w:sz w:val="28"/>
          <w:szCs w:val="24"/>
        </w:rPr>
        <w:t>（一）网上报名流程说明：</w:t>
      </w:r>
    </w:p>
    <w:p w14:paraId="05609396">
      <w:pPr>
        <w:widowControl/>
        <w:wordWrap w:val="0"/>
        <w:snapToGrid w:val="0"/>
        <w:spacing w:beforeLines="0" w:afterLines="0" w:line="540" w:lineRule="atLeast"/>
        <w:ind w:firstLine="560" w:firstLineChars="200"/>
        <w:rPr>
          <w:rFonts w:hint="eastAsia" w:ascii="宋体"/>
          <w:color w:val="000000"/>
          <w:kern w:val="0"/>
          <w:sz w:val="28"/>
          <w:szCs w:val="24"/>
        </w:rPr>
      </w:pPr>
      <w:r>
        <w:rPr>
          <w:rFonts w:hint="eastAsia" w:ascii="宋体" w:hAnsi="宋体" w:cs="宋体"/>
          <w:color w:val="000000"/>
          <w:kern w:val="0"/>
          <w:sz w:val="28"/>
          <w:szCs w:val="24"/>
        </w:rPr>
        <w:t>1、在公告规定的报名时间内竞买人从驻马店市公共资源交易中心网站</w:t>
      </w:r>
      <w:r>
        <w:rPr>
          <w:rFonts w:hint="eastAsia"/>
          <w:color w:val="000000"/>
          <w:sz w:val="28"/>
          <w:szCs w:val="24"/>
        </w:rPr>
        <w:t>中“招标代理、业主、投标人登录”栏目进行</w:t>
      </w:r>
      <w:r>
        <w:rPr>
          <w:rFonts w:hint="eastAsia" w:ascii="宋体" w:hAnsi="宋体" w:cs="宋体"/>
          <w:color w:val="000000"/>
          <w:kern w:val="0"/>
          <w:sz w:val="28"/>
          <w:szCs w:val="24"/>
        </w:rPr>
        <w:t>会员注册，按照《驻马店市产权网络竞价受让人操作手册》的说明详实填写基本信息、上传有关扫描件后由竞买人核验通过，不需要中心再次审核，因填报信息</w:t>
      </w:r>
      <w:r>
        <w:rPr>
          <w:rFonts w:hint="eastAsia"/>
          <w:color w:val="000000"/>
          <w:sz w:val="28"/>
          <w:szCs w:val="24"/>
        </w:rPr>
        <w:t>引发的问题，</w:t>
      </w:r>
      <w:r>
        <w:rPr>
          <w:rFonts w:hint="eastAsia" w:ascii="宋体" w:hAnsi="宋体" w:cs="宋体"/>
          <w:color w:val="000000"/>
          <w:kern w:val="0"/>
          <w:sz w:val="28"/>
          <w:szCs w:val="24"/>
        </w:rPr>
        <w:t>由竞买人</w:t>
      </w:r>
      <w:r>
        <w:rPr>
          <w:rFonts w:hint="eastAsia"/>
          <w:color w:val="000000"/>
          <w:sz w:val="28"/>
          <w:szCs w:val="24"/>
        </w:rPr>
        <w:t>自行承担</w:t>
      </w:r>
      <w:r>
        <w:rPr>
          <w:rFonts w:hint="eastAsia" w:ascii="宋体" w:hAnsi="宋体" w:cs="宋体"/>
          <w:color w:val="000000"/>
          <w:kern w:val="0"/>
          <w:sz w:val="28"/>
          <w:szCs w:val="24"/>
        </w:rPr>
        <w:t>；</w:t>
      </w:r>
    </w:p>
    <w:p w14:paraId="004593C4">
      <w:pPr>
        <w:widowControl/>
        <w:wordWrap w:val="0"/>
        <w:snapToGrid w:val="0"/>
        <w:spacing w:beforeLines="0" w:afterLines="0" w:line="540" w:lineRule="atLeast"/>
        <w:ind w:firstLine="560"/>
        <w:rPr>
          <w:rFonts w:hint="eastAsia" w:ascii="宋体"/>
          <w:color w:val="000000"/>
          <w:kern w:val="0"/>
          <w:sz w:val="28"/>
          <w:szCs w:val="24"/>
        </w:rPr>
      </w:pPr>
      <w:r>
        <w:rPr>
          <w:rFonts w:hint="eastAsia" w:ascii="宋体" w:hAnsi="宋体" w:cs="宋体"/>
          <w:color w:val="000000"/>
          <w:kern w:val="0"/>
          <w:sz w:val="28"/>
          <w:szCs w:val="24"/>
        </w:rPr>
        <w:t>2、</w:t>
      </w:r>
      <w:r>
        <w:rPr>
          <w:rFonts w:hint="eastAsia"/>
          <w:sz w:val="28"/>
          <w:szCs w:val="24"/>
        </w:rPr>
        <w:t>注册审核成功的会员登录系统，点击业务管理</w:t>
      </w:r>
      <w:r>
        <w:rPr>
          <w:rFonts w:hint="default" w:eastAsia="Times New Roman"/>
          <w:sz w:val="28"/>
          <w:szCs w:val="24"/>
        </w:rPr>
        <w:t>-</w:t>
      </w:r>
      <w:r>
        <w:rPr>
          <w:rFonts w:hint="eastAsia"/>
          <w:sz w:val="28"/>
          <w:szCs w:val="24"/>
        </w:rPr>
        <w:t>受让申请，找到欲报名标的进行填写、上传相关信息，</w:t>
      </w:r>
      <w:r>
        <w:rPr>
          <w:rFonts w:hint="eastAsia" w:ascii="宋体" w:hAnsi="宋体" w:cs="宋体"/>
          <w:color w:val="000000"/>
          <w:kern w:val="0"/>
          <w:sz w:val="28"/>
          <w:szCs w:val="24"/>
        </w:rPr>
        <w:t>提交后我中心对报名资格进行网上审查。欲</w:t>
      </w:r>
      <w:r>
        <w:rPr>
          <w:rFonts w:hint="eastAsia"/>
          <w:sz w:val="28"/>
          <w:szCs w:val="24"/>
        </w:rPr>
        <w:t>报名多个标的的竞买人，对需报名的每个标的进行上述同样的操作；</w:t>
      </w:r>
    </w:p>
    <w:p w14:paraId="1CBFDB79">
      <w:pPr>
        <w:widowControl/>
        <w:wordWrap w:val="0"/>
        <w:snapToGrid w:val="0"/>
        <w:spacing w:beforeLines="0" w:afterLines="0" w:line="540" w:lineRule="atLeast"/>
        <w:ind w:firstLine="560" w:firstLineChars="200"/>
        <w:rPr>
          <w:rFonts w:hint="eastAsia" w:ascii="宋体"/>
          <w:color w:val="000000"/>
          <w:kern w:val="0"/>
          <w:sz w:val="28"/>
          <w:szCs w:val="24"/>
        </w:rPr>
      </w:pPr>
      <w:r>
        <w:rPr>
          <w:rFonts w:hint="eastAsia" w:ascii="宋体" w:hAnsi="宋体" w:cs="宋体"/>
          <w:kern w:val="0"/>
          <w:sz w:val="28"/>
          <w:szCs w:val="24"/>
        </w:rPr>
        <w:t>3、审核合格的竞买人登陆系统，从</w:t>
      </w:r>
      <w:r>
        <w:rPr>
          <w:rFonts w:hint="eastAsia"/>
          <w:sz w:val="28"/>
          <w:szCs w:val="24"/>
        </w:rPr>
        <w:t>业务管理</w:t>
      </w:r>
      <w:r>
        <w:rPr>
          <w:rFonts w:hint="default"/>
          <w:sz w:val="28"/>
          <w:szCs w:val="24"/>
        </w:rPr>
        <w:t>-</w:t>
      </w:r>
      <w:r>
        <w:rPr>
          <w:rFonts w:hint="eastAsia"/>
          <w:sz w:val="28"/>
          <w:szCs w:val="24"/>
        </w:rPr>
        <w:t>保证金缴纳，选择报名成功的标的，点击操作，点击生成子账户，可得到保证金缴纳账户，</w:t>
      </w:r>
      <w:r>
        <w:rPr>
          <w:rFonts w:hint="eastAsia" w:ascii="宋体" w:hAnsi="宋体" w:cs="宋体"/>
          <w:kern w:val="0"/>
          <w:sz w:val="28"/>
          <w:szCs w:val="24"/>
        </w:rPr>
        <w:t>将保证金一次性足额交纳至系统生成的子账户（以实际到账时间为准）后，点击查询，</w:t>
      </w:r>
      <w:r>
        <w:rPr>
          <w:rFonts w:hint="eastAsia"/>
          <w:sz w:val="28"/>
          <w:szCs w:val="24"/>
        </w:rPr>
        <w:t>查询支付信息及有效缴纳信息，有效缴纳金额为实际缴纳情况。报名多个标的的竞买人，需要对每个报名成功的标的进行上述同样的操作，将保证金分标的交纳到标的生成的对应子账户中。</w:t>
      </w:r>
      <w:r>
        <w:rPr>
          <w:rFonts w:hint="eastAsia"/>
          <w:color w:val="000000"/>
          <w:sz w:val="28"/>
          <w:szCs w:val="24"/>
        </w:rPr>
        <w:t>缴纳保证金只能从会员账户中转账到系统生成的保证金子账号内，否则系统不认可。</w:t>
      </w:r>
    </w:p>
    <w:p w14:paraId="76C14353">
      <w:pPr>
        <w:widowControl/>
        <w:wordWrap w:val="0"/>
        <w:snapToGrid w:val="0"/>
        <w:spacing w:beforeLines="0" w:afterLines="0" w:line="540" w:lineRule="atLeast"/>
        <w:ind w:firstLine="420" w:firstLineChars="150"/>
        <w:rPr>
          <w:rFonts w:hint="eastAsia" w:ascii="宋体"/>
          <w:color w:val="000000"/>
          <w:kern w:val="0"/>
          <w:sz w:val="28"/>
          <w:szCs w:val="24"/>
        </w:rPr>
      </w:pPr>
      <w:r>
        <w:rPr>
          <w:rFonts w:hint="eastAsia" w:ascii="宋体" w:hAnsi="宋体" w:cs="宋体"/>
          <w:color w:val="000000"/>
          <w:kern w:val="0"/>
          <w:sz w:val="28"/>
          <w:szCs w:val="24"/>
        </w:rPr>
        <w:t>（二）网络竞价开始前，竞买人从驻马店市公共资源电子交易系统网站</w:t>
      </w:r>
      <w:r>
        <w:rPr>
          <w:rFonts w:hint="eastAsia"/>
          <w:color w:val="000000"/>
          <w:sz w:val="28"/>
          <w:szCs w:val="24"/>
        </w:rPr>
        <w:t>中“招标代理、业主、投标人登录”栏目</w:t>
      </w:r>
      <w:r>
        <w:rPr>
          <w:rFonts w:hint="eastAsia" w:ascii="宋体" w:hAnsi="宋体" w:cs="宋体"/>
          <w:color w:val="000000"/>
          <w:kern w:val="0"/>
          <w:sz w:val="28"/>
          <w:szCs w:val="24"/>
        </w:rPr>
        <w:t>登录电子竞价系统，选择竞价标的进行网络竞价。（请参阅驻马店市产权网络竞价受让人操作手册进行操作）</w:t>
      </w:r>
    </w:p>
    <w:p w14:paraId="766C905B">
      <w:pPr>
        <w:widowControl/>
        <w:wordWrap w:val="0"/>
        <w:snapToGrid w:val="0"/>
        <w:spacing w:beforeLines="0" w:afterLines="0" w:line="540" w:lineRule="atLeast"/>
        <w:ind w:firstLine="420" w:firstLineChars="150"/>
        <w:rPr>
          <w:rFonts w:hint="eastAsia" w:ascii="宋体"/>
          <w:color w:val="000000"/>
          <w:kern w:val="0"/>
          <w:sz w:val="24"/>
          <w:szCs w:val="24"/>
        </w:rPr>
      </w:pPr>
      <w:r>
        <w:rPr>
          <w:rFonts w:hint="eastAsia" w:ascii="宋体" w:hAnsi="宋体" w:cs="宋体"/>
          <w:color w:val="000000"/>
          <w:kern w:val="0"/>
          <w:sz w:val="28"/>
          <w:szCs w:val="24"/>
        </w:rPr>
        <w:t>（三）本次网络竞价过程由自由报价阶段和限时报价阶段组成。</w:t>
      </w:r>
      <w:r>
        <w:rPr>
          <w:rFonts w:hint="eastAsia"/>
          <w:sz w:val="28"/>
          <w:szCs w:val="24"/>
        </w:rPr>
        <w:t>本次网络竞价标的1加价幅度为每次5</w:t>
      </w:r>
      <w:r>
        <w:rPr>
          <w:rFonts w:hint="default"/>
          <w:sz w:val="28"/>
          <w:szCs w:val="24"/>
        </w:rPr>
        <w:t>00</w:t>
      </w:r>
      <w:r>
        <w:rPr>
          <w:rFonts w:hint="eastAsia"/>
          <w:sz w:val="28"/>
          <w:szCs w:val="24"/>
        </w:rPr>
        <w:t>元 ，标的2及标的3的加价幅度为1000元。</w:t>
      </w:r>
    </w:p>
    <w:p w14:paraId="1467E015">
      <w:pPr>
        <w:spacing w:beforeLines="0" w:afterLines="0"/>
        <w:ind w:firstLine="560" w:firstLineChars="200"/>
        <w:rPr>
          <w:rFonts w:hint="default" w:eastAsia="Times New Roman"/>
          <w:sz w:val="28"/>
          <w:szCs w:val="24"/>
        </w:rPr>
      </w:pPr>
      <w:r>
        <w:rPr>
          <w:rFonts w:hint="default"/>
          <w:sz w:val="28"/>
          <w:szCs w:val="24"/>
        </w:rPr>
        <w:t>1</w:t>
      </w:r>
      <w:r>
        <w:rPr>
          <w:rFonts w:hint="eastAsia"/>
          <w:sz w:val="28"/>
          <w:szCs w:val="24"/>
        </w:rPr>
        <w:t>、自由报价阶段：每个标的时间均为20分钟。如：标的自</w:t>
      </w:r>
      <w:r>
        <w:rPr>
          <w:rFonts w:hint="default"/>
          <w:sz w:val="28"/>
          <w:szCs w:val="24"/>
          <w:u w:val="single"/>
        </w:rPr>
        <w:t>20</w:t>
      </w:r>
      <w:r>
        <w:rPr>
          <w:rFonts w:hint="eastAsia"/>
          <w:sz w:val="28"/>
          <w:szCs w:val="24"/>
          <w:u w:val="single"/>
        </w:rPr>
        <w:t>24</w:t>
      </w:r>
      <w:r>
        <w:rPr>
          <w:rFonts w:hint="eastAsia"/>
          <w:sz w:val="28"/>
          <w:szCs w:val="24"/>
        </w:rPr>
        <w:t>年</w:t>
      </w:r>
      <w:r>
        <w:rPr>
          <w:rFonts w:hint="eastAsia"/>
          <w:sz w:val="28"/>
          <w:szCs w:val="24"/>
          <w:u w:val="single"/>
        </w:rPr>
        <w:t>8</w:t>
      </w:r>
      <w:r>
        <w:rPr>
          <w:rFonts w:hint="eastAsia"/>
          <w:sz w:val="28"/>
          <w:szCs w:val="24"/>
        </w:rPr>
        <w:t>月</w:t>
      </w:r>
      <w:r>
        <w:rPr>
          <w:rFonts w:hint="eastAsia"/>
          <w:sz w:val="28"/>
          <w:szCs w:val="24"/>
          <w:u w:val="single"/>
        </w:rPr>
        <w:t>7</w:t>
      </w:r>
      <w:r>
        <w:rPr>
          <w:rFonts w:hint="eastAsia"/>
          <w:sz w:val="28"/>
          <w:szCs w:val="24"/>
        </w:rPr>
        <w:t>日</w:t>
      </w:r>
      <w:r>
        <w:rPr>
          <w:rFonts w:hint="eastAsia"/>
          <w:sz w:val="28"/>
          <w:szCs w:val="24"/>
          <w:u w:val="single"/>
        </w:rPr>
        <w:t>9</w:t>
      </w:r>
      <w:r>
        <w:rPr>
          <w:rFonts w:hint="default"/>
          <w:sz w:val="28"/>
          <w:szCs w:val="24"/>
          <w:u w:val="single"/>
        </w:rPr>
        <w:t>:</w:t>
      </w:r>
      <w:r>
        <w:rPr>
          <w:rFonts w:hint="eastAsia"/>
          <w:sz w:val="28"/>
          <w:szCs w:val="24"/>
          <w:u w:val="single"/>
        </w:rPr>
        <w:t>0</w:t>
      </w:r>
      <w:r>
        <w:rPr>
          <w:rFonts w:hint="default"/>
          <w:sz w:val="28"/>
          <w:szCs w:val="24"/>
          <w:u w:val="single"/>
        </w:rPr>
        <w:t>0</w:t>
      </w:r>
      <w:r>
        <w:rPr>
          <w:rFonts w:hint="eastAsia"/>
          <w:sz w:val="28"/>
          <w:szCs w:val="24"/>
        </w:rPr>
        <w:t>至</w:t>
      </w:r>
      <w:r>
        <w:rPr>
          <w:rFonts w:hint="eastAsia"/>
          <w:sz w:val="28"/>
          <w:szCs w:val="24"/>
          <w:u w:val="single"/>
        </w:rPr>
        <w:t>9</w:t>
      </w:r>
      <w:r>
        <w:rPr>
          <w:rFonts w:hint="default"/>
          <w:sz w:val="28"/>
          <w:szCs w:val="24"/>
          <w:u w:val="single"/>
        </w:rPr>
        <w:t>:</w:t>
      </w:r>
      <w:r>
        <w:rPr>
          <w:rFonts w:hint="eastAsia"/>
          <w:sz w:val="28"/>
          <w:szCs w:val="24"/>
          <w:u w:val="single"/>
        </w:rPr>
        <w:t>20</w:t>
      </w:r>
      <w:r>
        <w:rPr>
          <w:rFonts w:hint="eastAsia"/>
          <w:sz w:val="28"/>
          <w:szCs w:val="24"/>
        </w:rPr>
        <w:t>（限时报价阶段开始前），在本阶段竞买人可以对项目标的充分报价，网络竞价的首次报价不得低于起始价（拍卖价），再次报价应高于当前最高报价，成为当前最新报价，原报价即丧失其约束力，每次加价金额必须等于事先确定的加价幅度或加价幅度的整数倍。</w:t>
      </w:r>
    </w:p>
    <w:p w14:paraId="7BD5624B">
      <w:pPr>
        <w:widowControl/>
        <w:wordWrap w:val="0"/>
        <w:snapToGrid w:val="0"/>
        <w:spacing w:beforeLines="0" w:afterLines="0" w:line="540" w:lineRule="atLeast"/>
        <w:ind w:firstLine="560"/>
        <w:rPr>
          <w:rFonts w:hint="eastAsia" w:ascii="宋体"/>
          <w:color w:val="000000"/>
          <w:kern w:val="0"/>
          <w:sz w:val="28"/>
          <w:szCs w:val="24"/>
        </w:rPr>
      </w:pPr>
      <w:r>
        <w:rPr>
          <w:rFonts w:hint="eastAsia" w:ascii="宋体" w:hAnsi="宋体" w:cs="宋体"/>
          <w:color w:val="000000"/>
          <w:kern w:val="0"/>
          <w:sz w:val="28"/>
          <w:szCs w:val="24"/>
        </w:rPr>
        <w:t>2、自由报价阶段结束后，所有竞买人即进入限时报价阶段。限时报价阶段可由多个限时报价周期组成，每个限时报价周期为</w:t>
      </w:r>
    </w:p>
    <w:p w14:paraId="1014BCBA">
      <w:pPr>
        <w:widowControl/>
        <w:wordWrap w:val="0"/>
        <w:snapToGrid w:val="0"/>
        <w:spacing w:beforeLines="0" w:afterLines="0" w:line="540" w:lineRule="atLeast"/>
        <w:rPr>
          <w:rFonts w:hint="eastAsia" w:ascii="宋体"/>
          <w:color w:val="000000"/>
          <w:kern w:val="0"/>
          <w:sz w:val="28"/>
          <w:szCs w:val="24"/>
        </w:rPr>
      </w:pPr>
      <w:r>
        <w:rPr>
          <w:rFonts w:hint="eastAsia" w:ascii="宋体" w:hAnsi="宋体" w:cs="宋体"/>
          <w:b/>
          <w:color w:val="000000"/>
          <w:kern w:val="0"/>
          <w:sz w:val="28"/>
          <w:szCs w:val="24"/>
          <w:u w:val="single"/>
        </w:rPr>
        <w:t>180</w:t>
      </w:r>
      <w:r>
        <w:rPr>
          <w:rFonts w:hint="eastAsia" w:ascii="宋体" w:hAnsi="宋体" w:cs="宋体"/>
          <w:color w:val="000000"/>
          <w:kern w:val="0"/>
          <w:sz w:val="28"/>
          <w:szCs w:val="24"/>
        </w:rPr>
        <w:t>秒。在一个限时报价周期内如无人加价，当前的最高出价者即为该标的受让方，该标的的竞价活动结束；如限时报价周期内有人加价，则以此报价时间为新的限时报价周期起点，往后等待新的报价，直至最后一个限时报价周期内没有新的有效报价为止，当前最高有效报价的竞买人即成为该标的受让方，该标的竞价活动结束。</w:t>
      </w:r>
    </w:p>
    <w:p w14:paraId="6003E09A">
      <w:pPr>
        <w:widowControl/>
        <w:wordWrap w:val="0"/>
        <w:snapToGrid w:val="0"/>
        <w:spacing w:beforeLines="0" w:afterLines="0" w:line="540" w:lineRule="atLeast"/>
        <w:ind w:firstLine="562"/>
        <w:rPr>
          <w:rFonts w:hint="eastAsia" w:ascii="宋体" w:hAnsi="宋体" w:cs="宋体"/>
          <w:b/>
          <w:color w:val="000000"/>
          <w:kern w:val="0"/>
          <w:sz w:val="28"/>
          <w:szCs w:val="24"/>
        </w:rPr>
      </w:pPr>
      <w:r>
        <w:rPr>
          <w:rFonts w:hint="eastAsia" w:ascii="宋体" w:hAnsi="宋体" w:cs="宋体"/>
          <w:b/>
          <w:color w:val="000000"/>
          <w:kern w:val="0"/>
          <w:sz w:val="28"/>
          <w:szCs w:val="24"/>
        </w:rPr>
        <w:t xml:space="preserve">（四）竞买人通过网络竞价系统报价，报价指令未确认前可撤回或更改，经确认后，不得撤销。 </w:t>
      </w:r>
    </w:p>
    <w:p w14:paraId="1FC0EE96">
      <w:pPr>
        <w:widowControl/>
        <w:wordWrap w:val="0"/>
        <w:snapToGrid w:val="0"/>
        <w:spacing w:beforeLines="0" w:afterLines="0" w:line="540" w:lineRule="atLeast"/>
        <w:ind w:firstLine="562"/>
        <w:rPr>
          <w:rFonts w:hint="eastAsia" w:ascii="宋体" w:hAnsi="宋体" w:cs="宋体"/>
          <w:b/>
          <w:color w:val="000000"/>
          <w:kern w:val="0"/>
          <w:sz w:val="28"/>
          <w:szCs w:val="24"/>
        </w:rPr>
      </w:pPr>
      <w:r>
        <w:rPr>
          <w:rFonts w:hint="eastAsia" w:ascii="宋体" w:hAnsi="宋体" w:cs="宋体"/>
          <w:b/>
          <w:color w:val="000000"/>
          <w:kern w:val="0"/>
          <w:sz w:val="28"/>
          <w:szCs w:val="24"/>
        </w:rPr>
        <w:t>（五）所有报价均在中心的网络竞价大厅中即时显示，最高报价的结果以中心网络竞价交易系统记录数据为准。网络竞价交易系统显示“数据验证”时，竞买人不得报价（否则报价无效）；网络竞价交易系统显示“本次竞价结束”时，本次竞价活动结束 。</w:t>
      </w:r>
    </w:p>
    <w:p w14:paraId="72EFF33A">
      <w:pPr>
        <w:widowControl/>
        <w:wordWrap w:val="0"/>
        <w:snapToGrid w:val="0"/>
        <w:spacing w:beforeLines="0" w:afterLines="0" w:line="540" w:lineRule="atLeast"/>
        <w:ind w:firstLine="562"/>
        <w:rPr>
          <w:rFonts w:hint="eastAsia" w:ascii="宋体" w:hAnsi="宋体" w:cs="宋体"/>
          <w:b/>
          <w:color w:val="000000"/>
          <w:kern w:val="0"/>
          <w:sz w:val="28"/>
          <w:szCs w:val="24"/>
        </w:rPr>
      </w:pPr>
      <w:r>
        <w:rPr>
          <w:rFonts w:hint="eastAsia" w:ascii="宋体" w:hAnsi="宋体" w:cs="宋体"/>
          <w:b/>
          <w:color w:val="000000"/>
          <w:kern w:val="0"/>
          <w:sz w:val="28"/>
          <w:szCs w:val="24"/>
        </w:rPr>
        <w:t>（六）竞价结束后，竞价系统会对成交的受让方自动弹出成交提示，受让方应在成交当日到中心签署成交文书。受让方在成交文书签订之日起3个工作日内与转让方签订《交易合同》，合同签订后5个工作日内将成交价款一次性在规定的时间内汇达本中心指定账户，否则视为违约，其所交保证金不予退还。</w:t>
      </w:r>
    </w:p>
    <w:p w14:paraId="5923043A">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 xml:space="preserve">七、特别说明 </w:t>
      </w:r>
    </w:p>
    <w:p w14:paraId="73A4C55B">
      <w:pPr>
        <w:widowControl/>
        <w:wordWrap w:val="0"/>
        <w:snapToGrid w:val="0"/>
        <w:spacing w:beforeLines="0" w:afterLines="0" w:line="540" w:lineRule="atLeast"/>
        <w:ind w:firstLine="420" w:firstLineChars="150"/>
        <w:rPr>
          <w:rFonts w:hint="eastAsia" w:ascii="宋体"/>
          <w:color w:val="000000"/>
          <w:kern w:val="0"/>
          <w:sz w:val="24"/>
          <w:szCs w:val="24"/>
        </w:rPr>
      </w:pPr>
      <w:r>
        <w:rPr>
          <w:rFonts w:hint="eastAsia" w:ascii="宋体" w:hAnsi="宋体" w:cs="宋体"/>
          <w:color w:val="000000"/>
          <w:kern w:val="0"/>
          <w:sz w:val="28"/>
          <w:szCs w:val="24"/>
        </w:rPr>
        <w:t>（一）对本次处置标的可能存在的瑕疵问题，本中心和委托方未做鉴定，中心和委托方对竞价标的不做任何担保，不承担任何瑕疵担保责任。公告上所写的标的的情况仅供参考，竞买人须认真查看标的详细情况，标的的质量、品质等情况不影响成交价，中心不承担由此引起的经济及法律责任。</w:t>
      </w:r>
    </w:p>
    <w:p w14:paraId="4AF8FA72">
      <w:pPr>
        <w:widowControl/>
        <w:wordWrap w:val="0"/>
        <w:snapToGrid w:val="0"/>
        <w:spacing w:beforeLines="0" w:afterLines="0" w:line="540" w:lineRule="atLeast"/>
        <w:ind w:firstLine="420" w:firstLineChars="150"/>
        <w:rPr>
          <w:rFonts w:hint="eastAsia" w:ascii="宋体"/>
          <w:color w:val="000000"/>
          <w:kern w:val="0"/>
          <w:sz w:val="28"/>
          <w:szCs w:val="24"/>
        </w:rPr>
      </w:pPr>
      <w:r>
        <w:rPr>
          <w:rFonts w:hint="eastAsia"/>
          <w:color w:val="000000"/>
          <w:sz w:val="28"/>
          <w:szCs w:val="24"/>
        </w:rPr>
        <w:t>（二）标的物以实物现状为准，有意竞买者请亲自实地查看标的现状，一旦参与竞买即视为对本标的现状的确认，认可该标的现状。</w:t>
      </w:r>
      <w:r>
        <w:rPr>
          <w:rFonts w:hint="default"/>
          <w:color w:val="000000"/>
          <w:sz w:val="28"/>
          <w:szCs w:val="24"/>
        </w:rPr>
        <w:t xml:space="preserve">  </w:t>
      </w:r>
      <w:r>
        <w:rPr>
          <w:rFonts w:hint="eastAsia" w:ascii="宋体" w:hAnsi="宋体" w:cs="宋体"/>
          <w:color w:val="000000"/>
          <w:kern w:val="0"/>
          <w:sz w:val="28"/>
          <w:szCs w:val="24"/>
        </w:rPr>
        <w:t xml:space="preserve"> </w:t>
      </w:r>
    </w:p>
    <w:p w14:paraId="1618007F">
      <w:pPr>
        <w:widowControl/>
        <w:wordWrap w:val="0"/>
        <w:snapToGrid w:val="0"/>
        <w:spacing w:beforeLines="0" w:afterLines="0" w:line="540" w:lineRule="atLeast"/>
        <w:ind w:firstLine="420" w:firstLineChars="150"/>
        <w:rPr>
          <w:rFonts w:hint="eastAsia"/>
          <w:color w:val="000000"/>
          <w:sz w:val="28"/>
          <w:szCs w:val="24"/>
        </w:rPr>
      </w:pPr>
      <w:r>
        <w:rPr>
          <w:rFonts w:hint="eastAsia"/>
          <w:color w:val="000000"/>
          <w:sz w:val="28"/>
          <w:szCs w:val="24"/>
        </w:rPr>
        <w:t>（三）受让方自提走受让车辆之时起，承担由车辆引起产生的全部经济及法律责任。买受方须在车辆签订交易合同之日起30日内将买受车辆过户办理完毕，否则，车辆过户保证金不予退还。如有提档过户到外地的，需要自行到车辆过户目的地的车管部门了解清楚当地车辆过户准入条件，因此产生的一切问题由车辆买受方承担法律后果。</w:t>
      </w:r>
    </w:p>
    <w:p w14:paraId="6F6FC41D">
      <w:pPr>
        <w:widowControl/>
        <w:wordWrap w:val="0"/>
        <w:snapToGrid w:val="0"/>
        <w:spacing w:beforeLines="0" w:afterLines="0" w:line="540" w:lineRule="atLeast"/>
        <w:ind w:firstLine="420" w:firstLineChars="150"/>
        <w:rPr>
          <w:rFonts w:hint="eastAsia" w:ascii="宋体" w:hAnsi="宋体" w:cs="宋体"/>
          <w:color w:val="000000"/>
          <w:kern w:val="0"/>
          <w:sz w:val="28"/>
          <w:szCs w:val="24"/>
        </w:rPr>
      </w:pPr>
      <w:r>
        <w:rPr>
          <w:rFonts w:hint="eastAsia" w:ascii="宋体" w:hAnsi="宋体" w:cs="宋体"/>
          <w:color w:val="000000"/>
          <w:kern w:val="0"/>
          <w:sz w:val="28"/>
          <w:szCs w:val="24"/>
        </w:rPr>
        <w:t>（四）未竞得者交纳的竞买保证金在竞价结束后3个工作日内全额无息退还。</w:t>
      </w:r>
    </w:p>
    <w:p w14:paraId="191141F2">
      <w:pPr>
        <w:widowControl/>
        <w:wordWrap w:val="0"/>
        <w:snapToGrid w:val="0"/>
        <w:spacing w:beforeLines="0" w:afterLines="0" w:line="540" w:lineRule="atLeast"/>
        <w:ind w:firstLine="420" w:firstLineChars="150"/>
        <w:rPr>
          <w:rFonts w:hint="eastAsia" w:ascii="宋体"/>
          <w:color w:val="000000"/>
          <w:kern w:val="0"/>
          <w:sz w:val="24"/>
          <w:szCs w:val="24"/>
        </w:rPr>
      </w:pPr>
      <w:r>
        <w:rPr>
          <w:rFonts w:hint="eastAsia" w:ascii="宋体" w:hAnsi="宋体" w:cs="宋体"/>
          <w:color w:val="000000"/>
          <w:kern w:val="0"/>
          <w:sz w:val="28"/>
          <w:szCs w:val="24"/>
        </w:rPr>
        <w:t>（五）本次成交价款中不包括买受人应向其他部门缴纳的各种相关税费、过户费用以及过检车辆年检费用和未知的各种费用，其费用均由买受方承担。</w:t>
      </w:r>
    </w:p>
    <w:p w14:paraId="2C6B227A">
      <w:pPr>
        <w:widowControl/>
        <w:wordWrap w:val="0"/>
        <w:snapToGrid w:val="0"/>
        <w:spacing w:beforeLines="0" w:afterLines="0" w:line="540" w:lineRule="atLeast"/>
        <w:ind w:firstLine="420" w:firstLineChars="150"/>
        <w:rPr>
          <w:rFonts w:hint="eastAsia" w:ascii="宋体"/>
          <w:color w:val="000000"/>
          <w:kern w:val="0"/>
          <w:sz w:val="28"/>
          <w:szCs w:val="24"/>
        </w:rPr>
      </w:pPr>
      <w:r>
        <w:rPr>
          <w:rFonts w:hint="eastAsia" w:ascii="宋体" w:hAnsi="宋体" w:cs="宋体"/>
          <w:color w:val="000000"/>
          <w:kern w:val="0"/>
          <w:sz w:val="28"/>
          <w:szCs w:val="24"/>
        </w:rPr>
        <w:t xml:space="preserve">（六）意向受让方不得与他方联合受让标的，也不得采用匿名委托或信托方式参与受让。 </w:t>
      </w:r>
      <w:r>
        <w:rPr>
          <w:rFonts w:hint="eastAsia" w:ascii="宋体" w:hAnsi="宋体" w:cs="宋体"/>
          <w:color w:val="000000"/>
          <w:kern w:val="0"/>
          <w:sz w:val="28"/>
          <w:szCs w:val="24"/>
        </w:rPr>
        <w:br w:type="textWrapping"/>
      </w:r>
      <w:r>
        <w:rPr>
          <w:rFonts w:hint="eastAsia" w:ascii="宋体"/>
          <w:color w:val="000000"/>
          <w:kern w:val="0"/>
          <w:sz w:val="28"/>
          <w:szCs w:val="24"/>
        </w:rPr>
        <w:t>   </w:t>
      </w:r>
      <w:r>
        <w:rPr>
          <w:rFonts w:hint="eastAsia" w:ascii="宋体" w:hAnsi="宋体" w:cs="宋体"/>
          <w:color w:val="000000"/>
          <w:kern w:val="0"/>
          <w:sz w:val="28"/>
          <w:szCs w:val="24"/>
        </w:rPr>
        <w:t>（七）转让标的在受让方付清全部成交价款后，由出让方将车辆移交给受让方。</w:t>
      </w:r>
    </w:p>
    <w:p w14:paraId="3E7C6D18">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 xml:space="preserve">八、违约责任： </w:t>
      </w:r>
    </w:p>
    <w:p w14:paraId="09273AA7">
      <w:pPr>
        <w:widowControl/>
        <w:wordWrap w:val="0"/>
        <w:snapToGrid w:val="0"/>
        <w:spacing w:beforeLines="0" w:afterLines="0" w:line="540" w:lineRule="atLeast"/>
        <w:ind w:firstLine="420" w:firstLineChars="150"/>
        <w:rPr>
          <w:rFonts w:hint="eastAsia" w:ascii="宋体"/>
          <w:color w:val="000000"/>
          <w:kern w:val="0"/>
          <w:sz w:val="24"/>
          <w:szCs w:val="24"/>
        </w:rPr>
      </w:pPr>
      <w:r>
        <w:rPr>
          <w:rFonts w:hint="eastAsia" w:ascii="宋体" w:hAnsi="宋体" w:cs="宋体"/>
          <w:color w:val="000000"/>
          <w:kern w:val="0"/>
          <w:sz w:val="28"/>
          <w:szCs w:val="24"/>
        </w:rPr>
        <w:t xml:space="preserve">（一）当出现下列情形之一时，竞买人无权要求返还保证金：1、竞买人出现违反《交易公告》中规定，或其他材料中约定的保证金不予返还情形的；2、竞买人提供虚假、失实材料，弄虚作假的；3、竞买人随意变更受让主体，采用串通或其他不正当竞争行为参与受让，损害国家利益、公众利益或他人合法权益的；4、竞买人扰乱竞价活动的正常秩序或无故缺席，使竞价活动无法进行或因竞买人原因造成竞价活动中止或终结的；5、竞买人违反其他法律、法规或相关规定，给委托方、中心或第三人造成损失的。保证金金额不足以弥补委托方、本中心或第三人损失的，可以向竞买人进行追偿。 </w:t>
      </w:r>
    </w:p>
    <w:p w14:paraId="1CBFBA6B">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（二）如受让方在竞价结束后未在规定时间内到中心办理成交有关手续或未按约定期限支付成交价款、领取和接管标的，均视为违约</w:t>
      </w:r>
      <w:r>
        <w:rPr>
          <w:rFonts w:hint="eastAsia" w:ascii="宋体"/>
          <w:color w:val="000000"/>
          <w:kern w:val="0"/>
          <w:sz w:val="28"/>
          <w:szCs w:val="24"/>
        </w:rPr>
        <w:t>,</w:t>
      </w:r>
      <w:r>
        <w:rPr>
          <w:rFonts w:hint="eastAsia" w:ascii="宋体" w:hAnsi="宋体" w:cs="宋体"/>
          <w:color w:val="000000"/>
          <w:kern w:val="0"/>
          <w:sz w:val="28"/>
          <w:szCs w:val="24"/>
        </w:rPr>
        <w:t xml:space="preserve">其所交保证金不予返还，并承担因违约所造成的一切损失。未按约定接管标的所产生的各种（储存、保管、保险、税款等）费用均由受让方承担，且受让方应对其负全责。 </w:t>
      </w:r>
    </w:p>
    <w:p w14:paraId="229A772C">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 xml:space="preserve">（三）如受让方未按约定期限支付成交价款，委托方可继续挂牌处置。如将标的再行处置的，原受让方应补足再次处置成交价与本次处置成交价的差额。 </w:t>
      </w:r>
    </w:p>
    <w:p w14:paraId="56B76A96">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 xml:space="preserve">九、免责声明 </w:t>
      </w:r>
    </w:p>
    <w:p w14:paraId="1217B7F6">
      <w:pPr>
        <w:widowControl/>
        <w:wordWrap w:val="0"/>
        <w:snapToGrid w:val="0"/>
        <w:spacing w:beforeLines="0" w:afterLines="0" w:line="540" w:lineRule="atLeast"/>
        <w:ind w:firstLine="420" w:firstLineChars="150"/>
        <w:rPr>
          <w:rFonts w:hint="eastAsia" w:ascii="宋体"/>
          <w:color w:val="000000"/>
          <w:kern w:val="0"/>
          <w:sz w:val="24"/>
          <w:szCs w:val="24"/>
        </w:rPr>
      </w:pPr>
      <w:r>
        <w:rPr>
          <w:rFonts w:hint="eastAsia" w:ascii="宋体" w:hAnsi="宋体" w:cs="宋体"/>
          <w:color w:val="000000"/>
          <w:kern w:val="0"/>
          <w:sz w:val="28"/>
          <w:szCs w:val="24"/>
        </w:rPr>
        <w:t xml:space="preserve">（一）我中心将委托方提供的标的资料进行了全面如实的披露，并不表明能够对标的所有瑕疵，特别是隐蔽的瑕疵进行了全部揭示。我中心提请竞买人认真查验标的和阅读本须知，自行并多方了解标的的所有情况，对标的可能存在的瑕疵及今后可能出现的问题做出自己的判断。竞买人参与报价，即表明竞买人对本须知、标的现况及标的全部瑕疵的认可和接受，竞价结果由竞买人负责承担全部法律责任。我中心在此郑重声明：不对标的的瑕疵承担任何责任，不对标的承担任何担保责任。 </w:t>
      </w:r>
    </w:p>
    <w:p w14:paraId="424881F6">
      <w:pPr>
        <w:widowControl/>
        <w:wordWrap w:val="0"/>
        <w:snapToGrid w:val="0"/>
        <w:spacing w:beforeLines="0" w:afterLines="0" w:line="540" w:lineRule="atLeast"/>
        <w:ind w:firstLine="420" w:firstLineChars="150"/>
        <w:rPr>
          <w:rFonts w:hint="eastAsia" w:ascii="宋体"/>
          <w:color w:val="000000"/>
          <w:kern w:val="0"/>
          <w:sz w:val="24"/>
          <w:szCs w:val="24"/>
        </w:rPr>
      </w:pPr>
      <w:r>
        <w:rPr>
          <w:rFonts w:hint="eastAsia" w:ascii="宋体" w:hAnsi="宋体" w:cs="宋体"/>
          <w:color w:val="000000"/>
          <w:kern w:val="0"/>
          <w:sz w:val="28"/>
          <w:szCs w:val="24"/>
        </w:rPr>
        <w:t>（二）若出现下列情况，我中心不承担任何经济和法律责任：</w:t>
      </w:r>
    </w:p>
    <w:p w14:paraId="158D1AAB">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1、网络竞价活动的时间以竞价系统服务器时间为准。由于竞买人自身终端设备时间与网络竞价系统服务器时间不符而导致未按时参与报价的，因竞买人自身操作导致报价不成功的；</w:t>
      </w:r>
    </w:p>
    <w:p w14:paraId="2A8A7218">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2、竞买人因自身原因导致其注册账户信息泄露而造成的一切后果；</w:t>
      </w:r>
    </w:p>
    <w:p w14:paraId="2CA15907">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3、竞买人因遗忘密码、自身终端设备出现故障或网络异常而不能正常竞价的。</w:t>
      </w:r>
    </w:p>
    <w:p w14:paraId="448BDA8E">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4、因不可抗力、软硬件故障、非法入侵、恶意攻击等突发事故导致系统故障无法继续竞价的，或者委托方、工商、司法等监管部门紧急要求网络竞价中止或终止等原因导致报价中断的，中心有权视情况组织继续竞价或重新竞价，并通知各竞买人。继续竞价或重新竞价的方式如下：竞价记录可以恢复的，以中断时的最高有效报价为起始价继续报价；竞价记录无法恢复的，以拍卖价为起始价重新竞价。继续竞价或重新竞价时将进行不少于30分钟的自由竞价期。</w:t>
      </w:r>
    </w:p>
    <w:p w14:paraId="1F95B87D">
      <w:pPr>
        <w:widowControl/>
        <w:wordWrap w:val="0"/>
        <w:snapToGrid w:val="0"/>
        <w:spacing w:beforeLines="0" w:afterLines="0" w:line="540" w:lineRule="atLeast"/>
        <w:ind w:firstLine="560"/>
        <w:rPr>
          <w:rFonts w:hint="eastAsia" w:ascii="宋体"/>
          <w:color w:val="000000"/>
          <w:kern w:val="0"/>
          <w:sz w:val="24"/>
          <w:szCs w:val="24"/>
        </w:rPr>
      </w:pPr>
      <w:r>
        <w:rPr>
          <w:rFonts w:hint="eastAsia" w:ascii="宋体" w:hAnsi="宋体" w:cs="宋体"/>
          <w:color w:val="000000"/>
          <w:kern w:val="0"/>
          <w:sz w:val="28"/>
          <w:szCs w:val="24"/>
        </w:rPr>
        <w:t xml:space="preserve">（三）中心郑重提醒竞买人：竞买人须谨慎保管登录账号和密码。凡使用该账号所进行的一切报价，均视为该竞买人亲自办理，报价与交易结果由受让方承担全部责任。 </w:t>
      </w:r>
    </w:p>
    <w:p w14:paraId="46E8E5CD">
      <w:pPr>
        <w:widowControl/>
        <w:wordWrap w:val="0"/>
        <w:snapToGrid w:val="0"/>
        <w:spacing w:beforeLines="0" w:afterLines="0" w:line="540" w:lineRule="atLeast"/>
        <w:ind w:firstLine="562"/>
        <w:rPr>
          <w:rFonts w:hint="eastAsia" w:ascii="宋体"/>
          <w:color w:val="000000"/>
          <w:kern w:val="0"/>
          <w:sz w:val="24"/>
          <w:szCs w:val="24"/>
        </w:rPr>
      </w:pPr>
      <w:r>
        <w:rPr>
          <w:rFonts w:hint="eastAsia" w:ascii="宋体" w:hAnsi="宋体" w:cs="宋体"/>
          <w:b/>
          <w:color w:val="000000"/>
          <w:kern w:val="0"/>
          <w:sz w:val="28"/>
          <w:szCs w:val="24"/>
        </w:rPr>
        <w:t>十、</w:t>
      </w:r>
      <w:r>
        <w:rPr>
          <w:rFonts w:hint="eastAsia" w:ascii="宋体" w:hAnsi="宋体" w:cs="宋体"/>
          <w:color w:val="000000"/>
          <w:kern w:val="0"/>
          <w:sz w:val="28"/>
          <w:szCs w:val="24"/>
        </w:rPr>
        <w:t>本《网络竞价须知》解释权和修订权属于驻马店市产权交易中心。竞买人应认真阅读并正确理解网络竞价须知的全部条款及内容，竞买人报名一经确认，即表示对本网络竞价须知的全部条款及内容予以全部确认，无任何异议。</w:t>
      </w:r>
      <w:r>
        <w:rPr>
          <w:rFonts w:hint="eastAsia" w:ascii="宋体"/>
          <w:color w:val="000000"/>
          <w:kern w:val="0"/>
          <w:sz w:val="24"/>
          <w:szCs w:val="24"/>
        </w:rPr>
        <w:t> </w:t>
      </w:r>
    </w:p>
    <w:p w14:paraId="5A373D63">
      <w:pPr>
        <w:widowControl/>
        <w:wordWrap w:val="0"/>
        <w:snapToGrid w:val="0"/>
        <w:spacing w:before="100" w:beforeLines="0" w:beforeAutospacing="1" w:after="100" w:afterLines="0" w:afterAutospacing="1" w:line="540" w:lineRule="atLeast"/>
        <w:ind w:firstLine="4680" w:firstLineChars="1950"/>
        <w:rPr>
          <w:rFonts w:hint="eastAsia" w:ascii="宋体"/>
          <w:color w:val="000000"/>
          <w:kern w:val="0"/>
          <w:sz w:val="24"/>
          <w:szCs w:val="24"/>
        </w:rPr>
      </w:pPr>
    </w:p>
    <w:p w14:paraId="0B2A962D">
      <w:bookmarkStart w:id="0" w:name="_GoBack"/>
      <w:bookmarkEnd w:id="0"/>
    </w:p>
    <w:sectPr>
      <w:headerReference r:id="rId4" w:type="default"/>
      <w:footerReference r:id="rId5" w:type="default"/>
      <w:pgSz w:w="11906" w:h="16838"/>
      <w:pgMar w:top="0" w:right="1800" w:bottom="1440" w:left="216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06C5">
    <w:pPr>
      <w:pStyle w:val="2"/>
      <w:framePr w:wrap="auto" w:vAnchor="text" w:hAnchor="margin" w:xAlign="center" w:y="1"/>
      <w:spacing w:beforeLines="0" w:afterLines="0"/>
      <w:rPr>
        <w:rStyle w:val="7"/>
        <w:rFonts w:hint="default" w:ascii="Times New Roman" w:hAnsi="Times New Roman"/>
        <w:sz w:val="18"/>
        <w:szCs w:val="24"/>
      </w:rPr>
    </w:pPr>
    <w:r>
      <w:rPr>
        <w:rStyle w:val="7"/>
        <w:rFonts w:hint="default" w:ascii="Times New Roman" w:hAnsi="Times New Roman"/>
        <w:sz w:val="18"/>
        <w:szCs w:val="24"/>
      </w:rPr>
      <w:fldChar w:fldCharType="begin"/>
    </w:r>
    <w:r>
      <w:rPr>
        <w:rStyle w:val="7"/>
        <w:rFonts w:hint="default" w:ascii="Times New Roman" w:hAnsi="Times New Roman"/>
        <w:sz w:val="18"/>
        <w:szCs w:val="24"/>
      </w:rPr>
      <w:instrText xml:space="preserve">PAGE  </w:instrText>
    </w:r>
    <w:r>
      <w:rPr>
        <w:rStyle w:val="7"/>
        <w:rFonts w:hint="default" w:ascii="Times New Roman" w:hAnsi="Times New Roman"/>
        <w:sz w:val="18"/>
        <w:szCs w:val="24"/>
      </w:rPr>
      <w:fldChar w:fldCharType="separate"/>
    </w:r>
    <w:r>
      <w:rPr>
        <w:rStyle w:val="7"/>
        <w:rFonts w:hint="default" w:ascii="Times New Roman" w:hAnsi="Times New Roman"/>
        <w:sz w:val="18"/>
        <w:szCs w:val="24"/>
      </w:rPr>
      <w:t>3</w:t>
    </w:r>
    <w:r>
      <w:rPr>
        <w:rStyle w:val="7"/>
        <w:rFonts w:hint="default" w:ascii="Times New Roman" w:hAnsi="Times New Roman"/>
        <w:sz w:val="18"/>
        <w:szCs w:val="24"/>
      </w:rPr>
      <w:fldChar w:fldCharType="end"/>
    </w:r>
  </w:p>
  <w:p w14:paraId="5481E171">
    <w:pPr>
      <w:pStyle w:val="2"/>
      <w:spacing w:beforeLines="0" w:afterLines="0"/>
      <w:rPr>
        <w:rFonts w:hint="default" w:eastAsia="Times New Roman"/>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8D17">
    <w:pPr>
      <w:pStyle w:val="3"/>
      <w:pBdr>
        <w:bottom w:val="none" w:color="auto" w:sz="0" w:space="0"/>
      </w:pBdr>
      <w:spacing w:beforeLines="0" w:afterLines="0"/>
      <w:rPr>
        <w:rFonts w:hint="default" w:eastAsia="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DQ1N2JmMmY5ZmUyODRhOTRkN2MyYTE1YWIzM2YifQ=="/>
  </w:docVars>
  <w:rsids>
    <w:rsidRoot w:val="00000000"/>
    <w:rsid w:val="7AB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eastAsia"/>
      <w:sz w:val="18"/>
      <w:szCs w:val="24"/>
    </w:rPr>
  </w:style>
  <w:style w:type="paragraph" w:styleId="3">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4">
    <w:name w:val="Normal (Web)"/>
    <w:basedOn w:val="1"/>
    <w:unhideWhenUsed/>
    <w:uiPriority w:val="99"/>
    <w:pPr>
      <w:widowControl/>
      <w:spacing w:before="100" w:beforeLines="0" w:beforeAutospacing="1" w:after="100" w:afterLines="0" w:afterAutospacing="1"/>
      <w:jc w:val="left"/>
    </w:pPr>
    <w:rPr>
      <w:rFonts w:hint="eastAsia" w:ascii="宋体" w:hAnsi="宋体"/>
      <w:sz w:val="24"/>
      <w:szCs w:val="24"/>
    </w:rPr>
  </w:style>
  <w:style w:type="character" w:styleId="7">
    <w:name w:val="page number"/>
    <w:basedOn w:val="6"/>
    <w:unhideWhenUsed/>
    <w:uiPriority w:val="99"/>
    <w:rPr>
      <w:rFonts w:hint="default"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2024-07-22T07:30:41Z</dcterms:created>
  <dc:creator>Administrator</dc:creator>
  <cp:lastModifiedBy>李勇</cp:lastModifiedBy>
  <dcterms:modified xsi:type="dcterms:W3CDTF">2024-07-22T07:30:54Z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B538E420C1C64BD7B88FC87F87147946_12</vt:lpwstr>
  </property>
</Properties>
</file>